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306"/>
      </w:tblGrid>
      <w:tr w:rsidR="00170F51" w:rsidTr="008F287F">
        <w:tc>
          <w:tcPr>
            <w:tcW w:w="675" w:type="dxa"/>
          </w:tcPr>
          <w:p w:rsidR="00170F51" w:rsidRDefault="00170F51"/>
        </w:tc>
        <w:tc>
          <w:tcPr>
            <w:tcW w:w="3261" w:type="dxa"/>
          </w:tcPr>
          <w:p w:rsidR="00170F51" w:rsidRDefault="00170F51" w:rsidP="00170F51"/>
          <w:p w:rsidR="00170F51" w:rsidRPr="006E106A" w:rsidRDefault="00170F51" w:rsidP="00170F51">
            <w:pPr>
              <w:rPr>
                <w:b/>
              </w:rPr>
            </w:pPr>
            <w:r w:rsidRPr="006E106A">
              <w:rPr>
                <w:b/>
              </w:rPr>
              <w:t>Present:</w:t>
            </w:r>
          </w:p>
        </w:tc>
        <w:tc>
          <w:tcPr>
            <w:tcW w:w="5306" w:type="dxa"/>
          </w:tcPr>
          <w:p w:rsidR="00170F51" w:rsidRDefault="00170F51" w:rsidP="00170F51"/>
          <w:p w:rsidR="002F1196" w:rsidRDefault="002F1196" w:rsidP="00170F51">
            <w:r>
              <w:t xml:space="preserve">Mr Oldbury, </w:t>
            </w:r>
            <w:r w:rsidR="00170F51" w:rsidRPr="00170F51">
              <w:t xml:space="preserve">Mrs Douglas, Mr Douglas,  </w:t>
            </w:r>
            <w:r>
              <w:t>Mr Askew &amp;</w:t>
            </w:r>
          </w:p>
          <w:p w:rsidR="00781828" w:rsidRDefault="00DC132F" w:rsidP="00170F51">
            <w:r>
              <w:t>Mr Pell</w:t>
            </w:r>
          </w:p>
          <w:p w:rsidR="00170F51" w:rsidRPr="00170F51" w:rsidRDefault="002F1196" w:rsidP="002F1196">
            <w:r>
              <w:t>Mrs Davies (</w:t>
            </w:r>
            <w:r w:rsidR="00170F51" w:rsidRPr="00170F51">
              <w:t xml:space="preserve">Clerk) Natalie Cockrell &amp; James </w:t>
            </w:r>
            <w:r w:rsidR="00DC132F">
              <w:t xml:space="preserve">Brown </w:t>
            </w:r>
            <w:r w:rsidR="00170F51" w:rsidRPr="00170F51">
              <w:t>from B.D.C</w:t>
            </w:r>
          </w:p>
        </w:tc>
      </w:tr>
      <w:tr w:rsidR="00170F51" w:rsidTr="00170F51">
        <w:trPr>
          <w:trHeight w:val="549"/>
        </w:trPr>
        <w:tc>
          <w:tcPr>
            <w:tcW w:w="675" w:type="dxa"/>
          </w:tcPr>
          <w:p w:rsidR="00170F51" w:rsidRDefault="00170F51"/>
        </w:tc>
        <w:tc>
          <w:tcPr>
            <w:tcW w:w="3261" w:type="dxa"/>
          </w:tcPr>
          <w:p w:rsidR="00170F51" w:rsidRPr="006E106A" w:rsidRDefault="00170F51" w:rsidP="00170F51">
            <w:pPr>
              <w:rPr>
                <w:b/>
              </w:rPr>
            </w:pPr>
          </w:p>
          <w:p w:rsidR="00170F51" w:rsidRPr="006E106A" w:rsidRDefault="00170F51" w:rsidP="00170F51">
            <w:pPr>
              <w:rPr>
                <w:b/>
              </w:rPr>
            </w:pPr>
            <w:r w:rsidRPr="006E106A">
              <w:rPr>
                <w:b/>
              </w:rPr>
              <w:t>Apologies:</w:t>
            </w:r>
          </w:p>
          <w:p w:rsidR="00170F51" w:rsidRPr="006E106A" w:rsidRDefault="00170F51" w:rsidP="00170F51">
            <w:pPr>
              <w:rPr>
                <w:b/>
              </w:rPr>
            </w:pPr>
          </w:p>
        </w:tc>
        <w:tc>
          <w:tcPr>
            <w:tcW w:w="5306" w:type="dxa"/>
          </w:tcPr>
          <w:p w:rsidR="00170F51" w:rsidRDefault="00170F51" w:rsidP="00170F51"/>
          <w:p w:rsidR="00170F51" w:rsidRPr="00170F51" w:rsidRDefault="00170F51" w:rsidP="00094F61">
            <w:r w:rsidRPr="00170F51">
              <w:t xml:space="preserve">Mr </w:t>
            </w:r>
            <w:r w:rsidR="002F1196">
              <w:t>Woodcock</w:t>
            </w:r>
          </w:p>
        </w:tc>
      </w:tr>
      <w:tr w:rsidR="008F287F" w:rsidTr="00170F51">
        <w:trPr>
          <w:trHeight w:val="606"/>
        </w:trPr>
        <w:tc>
          <w:tcPr>
            <w:tcW w:w="675" w:type="dxa"/>
          </w:tcPr>
          <w:p w:rsidR="008F287F" w:rsidRDefault="008F287F"/>
          <w:p w:rsidR="008F287F" w:rsidRDefault="008F287F"/>
          <w:p w:rsidR="008F287F" w:rsidRDefault="008F287F"/>
        </w:tc>
        <w:tc>
          <w:tcPr>
            <w:tcW w:w="3261" w:type="dxa"/>
          </w:tcPr>
          <w:p w:rsidR="00170F51" w:rsidRPr="00170F51" w:rsidRDefault="00170F51" w:rsidP="00170F51">
            <w:pPr>
              <w:rPr>
                <w:b/>
                <w:sz w:val="36"/>
                <w:szCs w:val="36"/>
              </w:rPr>
            </w:pPr>
          </w:p>
          <w:p w:rsidR="008F287F" w:rsidRPr="00170F51" w:rsidRDefault="008F287F" w:rsidP="00170F51">
            <w:pPr>
              <w:rPr>
                <w:b/>
                <w:sz w:val="36"/>
                <w:szCs w:val="36"/>
              </w:rPr>
            </w:pPr>
            <w:r w:rsidRPr="00170F51">
              <w:rPr>
                <w:b/>
                <w:sz w:val="36"/>
                <w:szCs w:val="36"/>
              </w:rPr>
              <w:t>Item</w:t>
            </w:r>
          </w:p>
        </w:tc>
        <w:tc>
          <w:tcPr>
            <w:tcW w:w="5306" w:type="dxa"/>
          </w:tcPr>
          <w:p w:rsidR="00170F51" w:rsidRPr="00170F51" w:rsidRDefault="00170F51" w:rsidP="00170F51">
            <w:pPr>
              <w:rPr>
                <w:b/>
                <w:sz w:val="36"/>
                <w:szCs w:val="36"/>
              </w:rPr>
            </w:pPr>
          </w:p>
          <w:p w:rsidR="008F287F" w:rsidRPr="00170F51" w:rsidRDefault="008F287F" w:rsidP="00170F51">
            <w:pPr>
              <w:rPr>
                <w:b/>
                <w:sz w:val="36"/>
                <w:szCs w:val="36"/>
              </w:rPr>
            </w:pPr>
            <w:r w:rsidRPr="00170F51">
              <w:rPr>
                <w:b/>
                <w:sz w:val="36"/>
                <w:szCs w:val="36"/>
              </w:rPr>
              <w:t>Action</w:t>
            </w:r>
          </w:p>
        </w:tc>
      </w:tr>
      <w:tr w:rsidR="008F287F" w:rsidTr="008F287F">
        <w:tc>
          <w:tcPr>
            <w:tcW w:w="675" w:type="dxa"/>
          </w:tcPr>
          <w:p w:rsidR="008F287F" w:rsidRDefault="008F287F">
            <w:r>
              <w:t>1</w:t>
            </w:r>
          </w:p>
        </w:tc>
        <w:tc>
          <w:tcPr>
            <w:tcW w:w="3261" w:type="dxa"/>
          </w:tcPr>
          <w:p w:rsidR="00EB1F1F" w:rsidRPr="006E106A" w:rsidRDefault="00EB1F1F">
            <w:pPr>
              <w:rPr>
                <w:b/>
              </w:rPr>
            </w:pPr>
          </w:p>
          <w:p w:rsidR="008F287F" w:rsidRPr="006E106A" w:rsidRDefault="002F1196">
            <w:pPr>
              <w:rPr>
                <w:b/>
              </w:rPr>
            </w:pPr>
            <w:r>
              <w:rPr>
                <w:b/>
              </w:rPr>
              <w:t>Feedback from last consultation</w:t>
            </w:r>
          </w:p>
        </w:tc>
        <w:tc>
          <w:tcPr>
            <w:tcW w:w="5306" w:type="dxa"/>
          </w:tcPr>
          <w:p w:rsidR="00EB1F1F" w:rsidRDefault="00EB1F1F"/>
          <w:p w:rsidR="008F287F" w:rsidRDefault="002F1196">
            <w:r>
              <w:t>The last consultation took place on the 13</w:t>
            </w:r>
            <w:r w:rsidRPr="002F1196">
              <w:rPr>
                <w:vertAlign w:val="superscript"/>
              </w:rPr>
              <w:t>th</w:t>
            </w:r>
            <w:r>
              <w:t xml:space="preserve"> March and the feedback from that consultation has been fed into the draft polices. There were no objections to the draft policies and support was shown for option 2. </w:t>
            </w:r>
          </w:p>
          <w:p w:rsidR="002F1196" w:rsidRPr="002F1196" w:rsidRDefault="002F1196">
            <w:pPr>
              <w:rPr>
                <w:b/>
              </w:rPr>
            </w:pPr>
            <w:r w:rsidRPr="002F1196">
              <w:rPr>
                <w:b/>
              </w:rPr>
              <w:t>PD to send information to JB to write up</w:t>
            </w:r>
            <w:r>
              <w:rPr>
                <w:b/>
              </w:rPr>
              <w:t>.</w:t>
            </w:r>
          </w:p>
        </w:tc>
      </w:tr>
      <w:tr w:rsidR="008F287F" w:rsidTr="008F287F">
        <w:tc>
          <w:tcPr>
            <w:tcW w:w="675" w:type="dxa"/>
          </w:tcPr>
          <w:p w:rsidR="008F287F" w:rsidRDefault="008F287F">
            <w:r>
              <w:t>2</w:t>
            </w:r>
          </w:p>
        </w:tc>
        <w:tc>
          <w:tcPr>
            <w:tcW w:w="3261" w:type="dxa"/>
          </w:tcPr>
          <w:p w:rsidR="00EB1F1F" w:rsidRDefault="00EB1F1F"/>
          <w:p w:rsidR="008F287F" w:rsidRPr="006E106A" w:rsidRDefault="002F1196">
            <w:pPr>
              <w:rPr>
                <w:b/>
              </w:rPr>
            </w:pPr>
            <w:r>
              <w:rPr>
                <w:b/>
              </w:rPr>
              <w:t>Feedback from training event</w:t>
            </w:r>
          </w:p>
        </w:tc>
        <w:tc>
          <w:tcPr>
            <w:tcW w:w="5306" w:type="dxa"/>
          </w:tcPr>
          <w:p w:rsidR="00EB1F1F" w:rsidRDefault="00EB1F1F" w:rsidP="008F287F"/>
          <w:p w:rsidR="00241EAF" w:rsidRDefault="00241EAF" w:rsidP="008F287F">
            <w:r>
              <w:t>Mr &amp; Mrs Douglas had attended the Neighbourhood Planning conference in York.</w:t>
            </w:r>
          </w:p>
          <w:p w:rsidR="00241EAF" w:rsidRDefault="00241EAF" w:rsidP="008F287F"/>
          <w:p w:rsidR="00241EAF" w:rsidRDefault="00241EAF" w:rsidP="008F287F">
            <w:r>
              <w:t>There were plenty of points raised and consultation ideas that Mrs Douglas passed onto the group.</w:t>
            </w:r>
          </w:p>
          <w:p w:rsidR="00241EAF" w:rsidRDefault="00241EAF" w:rsidP="008F287F"/>
          <w:p w:rsidR="00241EAF" w:rsidRDefault="00241EAF" w:rsidP="00241EAF">
            <w:pPr>
              <w:rPr>
                <w:b/>
              </w:rPr>
            </w:pPr>
            <w:r>
              <w:t xml:space="preserve">One point worth looking into was the idea of ‘lifetime’ homes – </w:t>
            </w:r>
            <w:r w:rsidRPr="00241EAF">
              <w:rPr>
                <w:color w:val="FF0000"/>
              </w:rPr>
              <w:t>retrofit</w:t>
            </w:r>
            <w:r>
              <w:t xml:space="preserve"> policy which </w:t>
            </w:r>
            <w:r w:rsidRPr="00241EAF">
              <w:rPr>
                <w:b/>
              </w:rPr>
              <w:t xml:space="preserve">NC will look </w:t>
            </w:r>
            <w:r>
              <w:rPr>
                <w:b/>
              </w:rPr>
              <w:t>into.</w:t>
            </w:r>
          </w:p>
          <w:p w:rsidR="00241EAF" w:rsidRDefault="00241EAF" w:rsidP="00241EAF">
            <w:pPr>
              <w:rPr>
                <w:b/>
              </w:rPr>
            </w:pPr>
          </w:p>
          <w:p w:rsidR="00241EAF" w:rsidRDefault="00241EAF" w:rsidP="00241EAF">
            <w:pPr>
              <w:rPr>
                <w:b/>
              </w:rPr>
            </w:pPr>
            <w:r>
              <w:rPr>
                <w:b/>
              </w:rPr>
              <w:t>Action:</w:t>
            </w:r>
            <w:r w:rsidR="003A56EC">
              <w:rPr>
                <w:b/>
              </w:rPr>
              <w:t xml:space="preserve"> </w:t>
            </w:r>
            <w:r>
              <w:rPr>
                <w:b/>
              </w:rPr>
              <w:t>PD suggested that more consultation required with developers</w:t>
            </w:r>
            <w:proofErr w:type="gramStart"/>
            <w:r>
              <w:rPr>
                <w:b/>
              </w:rPr>
              <w:t>,  land</w:t>
            </w:r>
            <w:proofErr w:type="gramEnd"/>
            <w:r>
              <w:rPr>
                <w:b/>
              </w:rPr>
              <w:t xml:space="preserve"> owners and businesses.</w:t>
            </w:r>
          </w:p>
          <w:p w:rsidR="00241EAF" w:rsidRDefault="00241EAF" w:rsidP="00241EAF">
            <w:pPr>
              <w:rPr>
                <w:b/>
              </w:rPr>
            </w:pPr>
          </w:p>
          <w:p w:rsidR="00241EAF" w:rsidRDefault="00241EAF" w:rsidP="00241EAF"/>
        </w:tc>
      </w:tr>
      <w:tr w:rsidR="008F287F" w:rsidRPr="00094F61" w:rsidTr="008F287F">
        <w:tc>
          <w:tcPr>
            <w:tcW w:w="675" w:type="dxa"/>
          </w:tcPr>
          <w:p w:rsidR="008F287F" w:rsidRDefault="00EB1F1F">
            <w:r>
              <w:t>3</w:t>
            </w:r>
          </w:p>
        </w:tc>
        <w:tc>
          <w:tcPr>
            <w:tcW w:w="3261" w:type="dxa"/>
          </w:tcPr>
          <w:p w:rsidR="00EB1F1F" w:rsidRDefault="00EB1F1F"/>
          <w:p w:rsidR="00EB1F1F" w:rsidRPr="00241EAF" w:rsidRDefault="00241EAF">
            <w:pPr>
              <w:rPr>
                <w:b/>
              </w:rPr>
            </w:pPr>
            <w:r w:rsidRPr="00241EAF">
              <w:rPr>
                <w:b/>
              </w:rPr>
              <w:t>Further development of policies</w:t>
            </w:r>
          </w:p>
        </w:tc>
        <w:tc>
          <w:tcPr>
            <w:tcW w:w="5306" w:type="dxa"/>
          </w:tcPr>
          <w:p w:rsidR="008F287F" w:rsidRPr="00094F61" w:rsidRDefault="008F287F">
            <w:pPr>
              <w:rPr>
                <w:b/>
              </w:rPr>
            </w:pPr>
          </w:p>
          <w:p w:rsidR="00EB1F1F" w:rsidRPr="00094F61" w:rsidRDefault="00241EAF">
            <w:r w:rsidRPr="00094F61">
              <w:t xml:space="preserve">PD – Housing Mix </w:t>
            </w:r>
            <w:r w:rsidR="003A56EC" w:rsidRPr="00094F61">
              <w:t>Strategy</w:t>
            </w:r>
            <w:r w:rsidRPr="00094F61">
              <w:t>.</w:t>
            </w:r>
          </w:p>
          <w:p w:rsidR="00241EAF" w:rsidRPr="00094F61" w:rsidRDefault="00241EAF">
            <w:r w:rsidRPr="00094F61">
              <w:t>The Site Allocation has allocated 11 houses, if the NP want</w:t>
            </w:r>
            <w:r w:rsidR="007B3EBB" w:rsidRPr="00094F61">
              <w:t>s</w:t>
            </w:r>
            <w:r w:rsidRPr="00094F61">
              <w:t xml:space="preserve"> more </w:t>
            </w:r>
            <w:r w:rsidR="007B3EBB" w:rsidRPr="00094F61">
              <w:t xml:space="preserve">allocations </w:t>
            </w:r>
            <w:r w:rsidRPr="00094F61">
              <w:t>then need to look at census dat</w:t>
            </w:r>
            <w:r w:rsidR="007B3EBB" w:rsidRPr="00094F61">
              <w:t>a</w:t>
            </w:r>
            <w:r w:rsidRPr="00094F61">
              <w:t>. The village has trebled in size due to the mining in 1940s</w:t>
            </w:r>
            <w:r w:rsidR="007B3EBB" w:rsidRPr="00094F61">
              <w:t xml:space="preserve">; not sure </w:t>
            </w:r>
            <w:r w:rsidR="003A56EC" w:rsidRPr="00094F61">
              <w:t>for</w:t>
            </w:r>
            <w:r w:rsidR="007B3EBB" w:rsidRPr="00094F61">
              <w:t xml:space="preserve"> the </w:t>
            </w:r>
            <w:r w:rsidR="003A56EC" w:rsidRPr="00094F61">
              <w:t>need for Maple</w:t>
            </w:r>
            <w:r w:rsidR="007B3EBB" w:rsidRPr="00094F61">
              <w:t xml:space="preserve"> Drive as there was no requirement for extra employment in the village</w:t>
            </w:r>
            <w:r w:rsidR="003A56EC" w:rsidRPr="00094F61">
              <w:t xml:space="preserve"> at the time of the development</w:t>
            </w:r>
            <w:r w:rsidR="007B3EBB" w:rsidRPr="00094F61">
              <w:t>.</w:t>
            </w:r>
          </w:p>
          <w:p w:rsidR="007B3EBB" w:rsidRPr="00094F61" w:rsidRDefault="007B3EBB">
            <w:r w:rsidRPr="00094F61">
              <w:t xml:space="preserve">In the last 30 years 60+ houses have been built, the last 10 years 17 houses have been built. </w:t>
            </w:r>
          </w:p>
          <w:p w:rsidR="007B3EBB" w:rsidRPr="00094F61" w:rsidRDefault="007B3EBB">
            <w:r w:rsidRPr="00094F61">
              <w:t>Would need to justify the need for a further 25 houses.</w:t>
            </w:r>
          </w:p>
          <w:p w:rsidR="007B3EBB" w:rsidRPr="00094F61" w:rsidRDefault="007B3EBB">
            <w:pPr>
              <w:rPr>
                <w:b/>
              </w:rPr>
            </w:pPr>
          </w:p>
          <w:p w:rsidR="007B3EBB" w:rsidRPr="00094F61" w:rsidRDefault="007B3EBB">
            <w:pPr>
              <w:rPr>
                <w:b/>
              </w:rPr>
            </w:pPr>
            <w:r w:rsidRPr="00094F61">
              <w:rPr>
                <w:b/>
              </w:rPr>
              <w:t>Action:</w:t>
            </w:r>
          </w:p>
          <w:p w:rsidR="007B3EBB" w:rsidRPr="00094F61" w:rsidRDefault="007B3EBB">
            <w:pPr>
              <w:rPr>
                <w:b/>
              </w:rPr>
            </w:pPr>
            <w:r w:rsidRPr="00094F61">
              <w:rPr>
                <w:b/>
              </w:rPr>
              <w:t>NC to write up policy document</w:t>
            </w:r>
          </w:p>
          <w:p w:rsidR="007B3EBB" w:rsidRPr="00094F61" w:rsidRDefault="007B3EBB">
            <w:pPr>
              <w:rPr>
                <w:b/>
              </w:rPr>
            </w:pPr>
            <w:r w:rsidRPr="00094F61">
              <w:rPr>
                <w:b/>
              </w:rPr>
              <w:t>NO to highlight consultation to support the policies</w:t>
            </w:r>
          </w:p>
          <w:p w:rsidR="007B3EBB" w:rsidRPr="00094F61" w:rsidRDefault="007B3EBB">
            <w:pPr>
              <w:rPr>
                <w:b/>
              </w:rPr>
            </w:pPr>
            <w:r w:rsidRPr="00094F61">
              <w:rPr>
                <w:b/>
              </w:rPr>
              <w:t>NC to do justification to support the policies</w:t>
            </w:r>
          </w:p>
          <w:p w:rsidR="007B3EBB" w:rsidRPr="00094F61" w:rsidRDefault="007B3EBB">
            <w:pPr>
              <w:rPr>
                <w:b/>
                <w:color w:val="FF0000"/>
              </w:rPr>
            </w:pPr>
            <w:r w:rsidRPr="00094F61">
              <w:rPr>
                <w:b/>
                <w:color w:val="FF0000"/>
              </w:rPr>
              <w:t>PD to write intention</w:t>
            </w:r>
            <w:r w:rsidR="003A56EC" w:rsidRPr="00094F61">
              <w:rPr>
                <w:b/>
                <w:color w:val="FF0000"/>
              </w:rPr>
              <w:t xml:space="preserve"> </w:t>
            </w:r>
            <w:r w:rsidRPr="00094F61">
              <w:rPr>
                <w:b/>
                <w:color w:val="FF0000"/>
              </w:rPr>
              <w:t>, policies and consultation results</w:t>
            </w:r>
          </w:p>
          <w:p w:rsidR="00EB1F1F" w:rsidRPr="00094F61" w:rsidRDefault="00EB1F1F">
            <w:pPr>
              <w:rPr>
                <w:b/>
                <w:color w:val="FF0000"/>
              </w:rPr>
            </w:pPr>
          </w:p>
          <w:p w:rsidR="007B3EBB" w:rsidRPr="00094F61" w:rsidRDefault="007B3EBB">
            <w:pPr>
              <w:rPr>
                <w:b/>
                <w:color w:val="FF0000"/>
              </w:rPr>
            </w:pPr>
            <w:r w:rsidRPr="00094F61">
              <w:rPr>
                <w:b/>
                <w:color w:val="FF0000"/>
              </w:rPr>
              <w:lastRenderedPageBreak/>
              <w:t>Require extra evidence for density  Policy H3</w:t>
            </w:r>
          </w:p>
          <w:p w:rsidR="003A56EC" w:rsidRPr="00094F61" w:rsidRDefault="003A56EC">
            <w:pPr>
              <w:rPr>
                <w:b/>
                <w:color w:val="FF0000"/>
              </w:rPr>
            </w:pPr>
          </w:p>
          <w:p w:rsidR="003A56EC" w:rsidRPr="00094F61" w:rsidRDefault="003A56EC">
            <w:pPr>
              <w:rPr>
                <w:b/>
                <w:color w:val="FF0000"/>
              </w:rPr>
            </w:pPr>
            <w:r w:rsidRPr="00094F61">
              <w:rPr>
                <w:b/>
                <w:color w:val="FF0000"/>
              </w:rPr>
              <w:t>PD – to write newsletter; send slides to Scott for the website</w:t>
            </w:r>
          </w:p>
          <w:p w:rsidR="00EB1F1F" w:rsidRPr="00094F61" w:rsidRDefault="00EB1F1F">
            <w:pPr>
              <w:rPr>
                <w:b/>
              </w:rPr>
            </w:pPr>
          </w:p>
        </w:tc>
      </w:tr>
      <w:tr w:rsidR="008F287F" w:rsidTr="008F287F">
        <w:tc>
          <w:tcPr>
            <w:tcW w:w="675" w:type="dxa"/>
          </w:tcPr>
          <w:p w:rsidR="008F287F" w:rsidRDefault="00EB1F1F">
            <w:r>
              <w:lastRenderedPageBreak/>
              <w:t>4</w:t>
            </w:r>
          </w:p>
        </w:tc>
        <w:tc>
          <w:tcPr>
            <w:tcW w:w="3261" w:type="dxa"/>
          </w:tcPr>
          <w:p w:rsidR="008F287F" w:rsidRPr="006E106A" w:rsidRDefault="003A56EC">
            <w:pPr>
              <w:rPr>
                <w:b/>
              </w:rPr>
            </w:pPr>
            <w:r>
              <w:rPr>
                <w:b/>
              </w:rPr>
              <w:t>Next consultation</w:t>
            </w:r>
          </w:p>
        </w:tc>
        <w:tc>
          <w:tcPr>
            <w:tcW w:w="5306" w:type="dxa"/>
          </w:tcPr>
          <w:p w:rsidR="00EB1F1F" w:rsidRPr="003A56EC" w:rsidRDefault="003A56EC">
            <w:pPr>
              <w:rPr>
                <w:b/>
              </w:rPr>
            </w:pPr>
            <w:r w:rsidRPr="003A56EC">
              <w:rPr>
                <w:b/>
              </w:rPr>
              <w:t xml:space="preserve">JB &amp; Daniel to meet at </w:t>
            </w:r>
            <w:proofErr w:type="spellStart"/>
            <w:r w:rsidRPr="003A56EC">
              <w:rPr>
                <w:b/>
              </w:rPr>
              <w:t>Gamston</w:t>
            </w:r>
            <w:proofErr w:type="spellEnd"/>
            <w:r w:rsidRPr="003A56EC">
              <w:rPr>
                <w:b/>
              </w:rPr>
              <w:t xml:space="preserve"> </w:t>
            </w:r>
            <w:proofErr w:type="spellStart"/>
            <w:r w:rsidRPr="003A56EC">
              <w:rPr>
                <w:b/>
              </w:rPr>
              <w:t>Buisness</w:t>
            </w:r>
            <w:proofErr w:type="spellEnd"/>
            <w:r w:rsidRPr="003A56EC">
              <w:rPr>
                <w:b/>
              </w:rPr>
              <w:t xml:space="preserve"> Park</w:t>
            </w:r>
          </w:p>
          <w:p w:rsidR="00170F51" w:rsidRDefault="00170F51" w:rsidP="002F1196"/>
        </w:tc>
      </w:tr>
      <w:tr w:rsidR="008F287F" w:rsidTr="008F287F">
        <w:tc>
          <w:tcPr>
            <w:tcW w:w="675" w:type="dxa"/>
          </w:tcPr>
          <w:p w:rsidR="008F287F" w:rsidRDefault="00EB1F1F">
            <w:r>
              <w:t>5</w:t>
            </w:r>
          </w:p>
          <w:p w:rsidR="00EB1F1F" w:rsidRDefault="00EB1F1F"/>
        </w:tc>
        <w:tc>
          <w:tcPr>
            <w:tcW w:w="3261" w:type="dxa"/>
          </w:tcPr>
          <w:p w:rsidR="008F287F" w:rsidRPr="006E106A" w:rsidRDefault="008F287F">
            <w:pPr>
              <w:rPr>
                <w:b/>
              </w:rPr>
            </w:pPr>
          </w:p>
          <w:p w:rsidR="00EB1F1F" w:rsidRPr="006E106A" w:rsidRDefault="003A56EC" w:rsidP="002F1196">
            <w:pPr>
              <w:rPr>
                <w:b/>
              </w:rPr>
            </w:pPr>
            <w:r>
              <w:rPr>
                <w:b/>
              </w:rPr>
              <w:t>Project Plan for next phase</w:t>
            </w:r>
          </w:p>
        </w:tc>
        <w:tc>
          <w:tcPr>
            <w:tcW w:w="5306" w:type="dxa"/>
          </w:tcPr>
          <w:p w:rsidR="008F287F" w:rsidRDefault="008F287F"/>
          <w:p w:rsidR="00170F51" w:rsidRPr="00094F61" w:rsidRDefault="00094F61" w:rsidP="002F1196">
            <w:r>
              <w:t xml:space="preserve">Draft document to be sent to Clive </w:t>
            </w:r>
            <w:proofErr w:type="spellStart"/>
            <w:r w:rsidRPr="00094F61">
              <w:rPr>
                <w:color w:val="FF0000"/>
              </w:rPr>
              <w:t>Keebly</w:t>
            </w:r>
            <w:proofErr w:type="spellEnd"/>
            <w:r>
              <w:rPr>
                <w:color w:val="FF0000"/>
              </w:rPr>
              <w:t xml:space="preserve"> </w:t>
            </w:r>
            <w:r w:rsidRPr="00094F61">
              <w:t>to look at as if an inspection and then send onto Helen.</w:t>
            </w:r>
          </w:p>
          <w:p w:rsidR="00094F61" w:rsidRPr="00094F61" w:rsidRDefault="00094F61" w:rsidP="002F1196">
            <w:pPr>
              <w:rPr>
                <w:b/>
              </w:rPr>
            </w:pPr>
            <w:r w:rsidRPr="00094F61">
              <w:rPr>
                <w:b/>
              </w:rPr>
              <w:t>NC to do this by the end of April</w:t>
            </w:r>
          </w:p>
          <w:p w:rsidR="00094F61" w:rsidRDefault="00094F61" w:rsidP="002F1196">
            <w:pPr>
              <w:rPr>
                <w:b/>
                <w:color w:val="FF0000"/>
              </w:rPr>
            </w:pPr>
          </w:p>
          <w:p w:rsidR="00094F61" w:rsidRDefault="00094F61" w:rsidP="002F119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All comments to be sent to NC before 14</w:t>
            </w:r>
            <w:r w:rsidRPr="00094F61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May</w:t>
            </w:r>
          </w:p>
          <w:p w:rsidR="00094F61" w:rsidRDefault="00094F61" w:rsidP="002F1196">
            <w:pPr>
              <w:rPr>
                <w:b/>
                <w:color w:val="FF0000"/>
              </w:rPr>
            </w:pPr>
          </w:p>
          <w:p w:rsidR="00094F61" w:rsidRPr="00094F61" w:rsidRDefault="00094F61" w:rsidP="00094F61">
            <w:r w:rsidRPr="00094F61">
              <w:t>Wait till the draft document is ready and then present it to the Education &amp; Transport Authorities.</w:t>
            </w:r>
          </w:p>
          <w:p w:rsidR="00094F61" w:rsidRDefault="00094F61" w:rsidP="00094F61">
            <w:pPr>
              <w:rPr>
                <w:b/>
                <w:color w:val="FF0000"/>
              </w:rPr>
            </w:pPr>
          </w:p>
          <w:p w:rsidR="00094F61" w:rsidRPr="00094F61" w:rsidRDefault="00094F61" w:rsidP="00094F61">
            <w:pPr>
              <w:rPr>
                <w:b/>
              </w:rPr>
            </w:pPr>
            <w:r w:rsidRPr="00094F61">
              <w:rPr>
                <w:b/>
              </w:rPr>
              <w:t>WC to arrange a meeting with the Yew Tree site landowner before 14</w:t>
            </w:r>
            <w:r w:rsidRPr="00094F61">
              <w:rPr>
                <w:b/>
                <w:vertAlign w:val="superscript"/>
              </w:rPr>
              <w:t>th</w:t>
            </w:r>
            <w:r w:rsidRPr="00094F61">
              <w:rPr>
                <w:b/>
              </w:rPr>
              <w:t xml:space="preserve"> May – NC to give available dates.</w:t>
            </w:r>
          </w:p>
        </w:tc>
      </w:tr>
      <w:tr w:rsidR="008F287F" w:rsidTr="008F287F">
        <w:tc>
          <w:tcPr>
            <w:tcW w:w="675" w:type="dxa"/>
          </w:tcPr>
          <w:p w:rsidR="008F287F" w:rsidRDefault="00EB1F1F">
            <w:r>
              <w:t>6</w:t>
            </w:r>
          </w:p>
        </w:tc>
        <w:tc>
          <w:tcPr>
            <w:tcW w:w="3261" w:type="dxa"/>
          </w:tcPr>
          <w:p w:rsidR="00170F51" w:rsidRPr="006E106A" w:rsidRDefault="00170F51">
            <w:pPr>
              <w:rPr>
                <w:b/>
              </w:rPr>
            </w:pPr>
          </w:p>
          <w:p w:rsidR="00C662CB" w:rsidRPr="006E106A" w:rsidRDefault="00094F61">
            <w:pPr>
              <w:rPr>
                <w:b/>
              </w:rPr>
            </w:pPr>
            <w:r>
              <w:rPr>
                <w:b/>
              </w:rPr>
              <w:t>Anything that needs following up</w:t>
            </w:r>
          </w:p>
          <w:p w:rsidR="00C662CB" w:rsidRPr="006E106A" w:rsidRDefault="00C662CB">
            <w:pPr>
              <w:rPr>
                <w:b/>
              </w:rPr>
            </w:pPr>
          </w:p>
          <w:p w:rsidR="00EB1F1F" w:rsidRPr="006E106A" w:rsidRDefault="00EB1F1F" w:rsidP="002F1196">
            <w:pPr>
              <w:rPr>
                <w:b/>
              </w:rPr>
            </w:pPr>
          </w:p>
        </w:tc>
        <w:tc>
          <w:tcPr>
            <w:tcW w:w="5306" w:type="dxa"/>
          </w:tcPr>
          <w:p w:rsidR="00C662CB" w:rsidRDefault="00C662CB"/>
          <w:p w:rsidR="00094F61" w:rsidRDefault="00094F61">
            <w:pPr>
              <w:rPr>
                <w:b/>
              </w:rPr>
            </w:pPr>
            <w:r w:rsidRPr="00094F61">
              <w:rPr>
                <w:b/>
              </w:rPr>
              <w:t>PD to send group questionnaires to NC</w:t>
            </w:r>
          </w:p>
          <w:p w:rsidR="009071C5" w:rsidRDefault="009071C5">
            <w:pPr>
              <w:rPr>
                <w:b/>
              </w:rPr>
            </w:pPr>
          </w:p>
          <w:p w:rsidR="009071C5" w:rsidRPr="00094F61" w:rsidRDefault="009071C5">
            <w:pPr>
              <w:rPr>
                <w:b/>
              </w:rPr>
            </w:pPr>
            <w:r>
              <w:rPr>
                <w:b/>
              </w:rPr>
              <w:t>PD,WD &amp; NC to meet 1</w:t>
            </w:r>
            <w:r w:rsidRPr="009071C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 to go through finances.</w:t>
            </w:r>
            <w:bookmarkStart w:id="0" w:name="_GoBack"/>
            <w:bookmarkEnd w:id="0"/>
          </w:p>
        </w:tc>
      </w:tr>
    </w:tbl>
    <w:p w:rsidR="00AE0D01" w:rsidRDefault="00AE0D01" w:rsidP="008F287F">
      <w:pPr>
        <w:pStyle w:val="Heading1"/>
      </w:pPr>
    </w:p>
    <w:sectPr w:rsidR="00AE0D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38" w:rsidRDefault="00021038" w:rsidP="00021038">
      <w:pPr>
        <w:spacing w:after="0" w:line="240" w:lineRule="auto"/>
      </w:pPr>
      <w:r>
        <w:separator/>
      </w:r>
    </w:p>
  </w:endnote>
  <w:endnote w:type="continuationSeparator" w:id="0">
    <w:p w:rsidR="00021038" w:rsidRDefault="00021038" w:rsidP="0002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38" w:rsidRDefault="00021038" w:rsidP="00021038">
      <w:pPr>
        <w:spacing w:after="0" w:line="240" w:lineRule="auto"/>
      </w:pPr>
      <w:r>
        <w:separator/>
      </w:r>
    </w:p>
  </w:footnote>
  <w:footnote w:type="continuationSeparator" w:id="0">
    <w:p w:rsidR="00021038" w:rsidRDefault="00021038" w:rsidP="0002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38" w:rsidRDefault="00021038" w:rsidP="00021038">
    <w:pPr>
      <w:pStyle w:val="Header"/>
      <w:jc w:val="center"/>
      <w:rPr>
        <w:b/>
      </w:rPr>
    </w:pPr>
    <w:r w:rsidRPr="00021038">
      <w:rPr>
        <w:b/>
      </w:rPr>
      <w:t xml:space="preserve">Minutes of the NP Steering Group meeting on </w:t>
    </w:r>
    <w:r w:rsidR="002F1196">
      <w:rPr>
        <w:b/>
      </w:rPr>
      <w:t>26</w:t>
    </w:r>
    <w:r w:rsidR="002F1196" w:rsidRPr="002F1196">
      <w:rPr>
        <w:b/>
        <w:vertAlign w:val="superscript"/>
      </w:rPr>
      <w:t>th</w:t>
    </w:r>
    <w:r w:rsidR="002F1196">
      <w:rPr>
        <w:b/>
      </w:rPr>
      <w:t xml:space="preserve"> March 2014</w:t>
    </w:r>
    <w:r w:rsidRPr="00021038">
      <w:rPr>
        <w:b/>
      </w:rPr>
      <w:t xml:space="preserve"> at </w:t>
    </w:r>
    <w:r w:rsidR="002F1196">
      <w:rPr>
        <w:b/>
      </w:rPr>
      <w:t>6</w:t>
    </w:r>
    <w:r w:rsidRPr="00021038">
      <w:rPr>
        <w:b/>
      </w:rPr>
      <w:t>pm</w:t>
    </w:r>
  </w:p>
  <w:p w:rsidR="00021038" w:rsidRPr="00021038" w:rsidRDefault="00021038" w:rsidP="00021038">
    <w:pPr>
      <w:pStyle w:val="Header"/>
      <w:jc w:val="center"/>
      <w:rPr>
        <w:b/>
      </w:rPr>
    </w:pPr>
    <w:r w:rsidRPr="00021038">
      <w:rPr>
        <w:b/>
      </w:rPr>
      <w:t xml:space="preserve"> </w:t>
    </w:r>
    <w:proofErr w:type="gramStart"/>
    <w:r w:rsidRPr="00021038">
      <w:rPr>
        <w:b/>
      </w:rPr>
      <w:t>in</w:t>
    </w:r>
    <w:proofErr w:type="gramEnd"/>
    <w:r w:rsidRPr="00021038">
      <w:rPr>
        <w:b/>
      </w:rPr>
      <w:t xml:space="preserve"> the Elkesley Memorial Hall</w:t>
    </w:r>
  </w:p>
  <w:p w:rsidR="00021038" w:rsidRDefault="00021038">
    <w:pPr>
      <w:pStyle w:val="Header"/>
    </w:pPr>
  </w:p>
  <w:p w:rsidR="00021038" w:rsidRDefault="00021038">
    <w:pPr>
      <w:pStyle w:val="Header"/>
    </w:pPr>
  </w:p>
  <w:p w:rsidR="00021038" w:rsidRDefault="00021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7F"/>
    <w:rsid w:val="00021038"/>
    <w:rsid w:val="00094F61"/>
    <w:rsid w:val="00170F51"/>
    <w:rsid w:val="00241EAF"/>
    <w:rsid w:val="002F1196"/>
    <w:rsid w:val="003A56EC"/>
    <w:rsid w:val="006E106A"/>
    <w:rsid w:val="00781828"/>
    <w:rsid w:val="007A6613"/>
    <w:rsid w:val="007B3EBB"/>
    <w:rsid w:val="008F287F"/>
    <w:rsid w:val="009071C5"/>
    <w:rsid w:val="00AE0D01"/>
    <w:rsid w:val="00C662CB"/>
    <w:rsid w:val="00DC132F"/>
    <w:rsid w:val="00E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F2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38"/>
  </w:style>
  <w:style w:type="paragraph" w:styleId="Footer">
    <w:name w:val="footer"/>
    <w:basedOn w:val="Normal"/>
    <w:link w:val="FooterChar"/>
    <w:uiPriority w:val="99"/>
    <w:unhideWhenUsed/>
    <w:rsid w:val="0002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F2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38"/>
  </w:style>
  <w:style w:type="paragraph" w:styleId="Footer">
    <w:name w:val="footer"/>
    <w:basedOn w:val="Normal"/>
    <w:link w:val="FooterChar"/>
    <w:uiPriority w:val="99"/>
    <w:unhideWhenUsed/>
    <w:rsid w:val="0002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4</cp:revision>
  <cp:lastPrinted>2013-10-10T19:37:00Z</cp:lastPrinted>
  <dcterms:created xsi:type="dcterms:W3CDTF">2014-04-19T17:43:00Z</dcterms:created>
  <dcterms:modified xsi:type="dcterms:W3CDTF">2014-04-19T18:34:00Z</dcterms:modified>
</cp:coreProperties>
</file>